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EFD8D" w14:textId="466DEE93" w:rsidR="00AA7452" w:rsidRPr="00B40B67" w:rsidRDefault="009940AD" w:rsidP="003C6D7B">
      <w:pPr>
        <w:ind w:left="-270"/>
        <w:rPr>
          <w:rFonts w:ascii="Calibri" w:hAnsi="Calibri" w:cs="Calibri"/>
          <w:b/>
          <w:bCs/>
          <w:sz w:val="28"/>
          <w:szCs w:val="28"/>
        </w:rPr>
      </w:pPr>
      <w:r w:rsidRPr="00B40B67">
        <w:rPr>
          <w:rFonts w:ascii="Calibri" w:hAnsi="Calibri" w:cs="Calibri"/>
          <w:b/>
          <w:bCs/>
          <w:color w:val="9900FF"/>
          <w:sz w:val="28"/>
          <w:szCs w:val="28"/>
        </w:rPr>
        <w:t>Just Tell Them</w:t>
      </w:r>
      <w:r w:rsidR="00AA7452" w:rsidRPr="00B40B67">
        <w:rPr>
          <w:rFonts w:ascii="Calibri" w:hAnsi="Calibri" w:cs="Calibri"/>
          <w:color w:val="9900FF"/>
          <w:sz w:val="28"/>
          <w:szCs w:val="28"/>
        </w:rPr>
        <w:t xml:space="preserve"> 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by </w:t>
      </w:r>
      <w:r w:rsidR="00B86990">
        <w:rPr>
          <w:rFonts w:ascii="Calibri" w:hAnsi="Calibri" w:cs="Calibri"/>
          <w:b/>
          <w:bCs/>
          <w:sz w:val="28"/>
          <w:szCs w:val="28"/>
        </w:rPr>
        <w:t xml:space="preserve">Dr. </w:t>
      </w:r>
      <w:r w:rsidRPr="00B40B67">
        <w:rPr>
          <w:rFonts w:ascii="Calibri" w:hAnsi="Calibri" w:cs="Calibri"/>
          <w:b/>
          <w:bCs/>
          <w:sz w:val="28"/>
          <w:szCs w:val="28"/>
        </w:rPr>
        <w:t xml:space="preserve">Zach </w:t>
      </w:r>
      <w:proofErr w:type="spellStart"/>
      <w:r w:rsidRPr="00B40B67">
        <w:rPr>
          <w:rFonts w:ascii="Calibri" w:hAnsi="Calibri" w:cs="Calibri"/>
          <w:b/>
          <w:bCs/>
          <w:sz w:val="28"/>
          <w:szCs w:val="28"/>
        </w:rPr>
        <w:t>Groshell</w:t>
      </w:r>
      <w:proofErr w:type="spellEnd"/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  </w:t>
      </w:r>
      <w:r w:rsidR="00121F27">
        <w:rPr>
          <w:rFonts w:ascii="Calibri" w:hAnsi="Calibri" w:cs="Calibri"/>
          <w:b/>
          <w:bCs/>
          <w:sz w:val="28"/>
          <w:szCs w:val="28"/>
        </w:rPr>
        <w:t xml:space="preserve">   </w:t>
      </w:r>
      <w:r w:rsidR="00121F27" w:rsidRPr="00B40B67">
        <w:rPr>
          <w:rFonts w:ascii="Calibri" w:hAnsi="Calibri" w:cs="Calibri"/>
          <w:b/>
          <w:bCs/>
          <w:sz w:val="28"/>
          <w:szCs w:val="28"/>
        </w:rPr>
        <w:t xml:space="preserve">Planning Summary 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>by Helen Reynolds (@helenrey</w:t>
      </w:r>
      <w:r w:rsidR="003C6D7B">
        <w:rPr>
          <w:rFonts w:ascii="Calibri" w:hAnsi="Calibri" w:cs="Calibri"/>
          <w:b/>
          <w:bCs/>
          <w:sz w:val="28"/>
          <w:szCs w:val="28"/>
        </w:rPr>
        <w:t>/bsky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) </w:t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5310"/>
        <w:gridCol w:w="5305"/>
      </w:tblGrid>
      <w:tr w:rsidR="00AA7452" w:rsidRPr="00B40B67" w14:paraId="488B8577" w14:textId="77777777" w:rsidTr="00A72392">
        <w:tc>
          <w:tcPr>
            <w:tcW w:w="5310" w:type="dxa"/>
          </w:tcPr>
          <w:p w14:paraId="0651E8C6" w14:textId="6D5481E2" w:rsidR="00AA7452" w:rsidRPr="00B40B67" w:rsidRDefault="00AA7452" w:rsidP="00AA7452">
            <w:pPr>
              <w:rPr>
                <w:rFonts w:ascii="Calibri" w:hAnsi="Calibri" w:cs="Calibri"/>
                <w:b/>
                <w:bCs/>
              </w:rPr>
            </w:pPr>
            <w:r w:rsidRPr="00B40B67">
              <w:rPr>
                <w:rFonts w:ascii="Calibri" w:hAnsi="Calibri" w:cs="Calibri"/>
                <w:b/>
                <w:bCs/>
              </w:rPr>
              <w:t>Chapter</w:t>
            </w:r>
          </w:p>
        </w:tc>
        <w:tc>
          <w:tcPr>
            <w:tcW w:w="5305" w:type="dxa"/>
          </w:tcPr>
          <w:p w14:paraId="0F5B9C65" w14:textId="51858ECF" w:rsidR="00AA7452" w:rsidRPr="00B40B67" w:rsidRDefault="00AA7452" w:rsidP="00AA7452">
            <w:pPr>
              <w:rPr>
                <w:rFonts w:ascii="Calibri" w:hAnsi="Calibri" w:cs="Calibri"/>
                <w:b/>
                <w:bCs/>
              </w:rPr>
            </w:pPr>
            <w:r w:rsidRPr="00B40B67">
              <w:rPr>
                <w:rFonts w:ascii="Calibri" w:hAnsi="Calibri" w:cs="Calibri"/>
                <w:b/>
                <w:bCs/>
              </w:rPr>
              <w:t>Do this/Learn this</w:t>
            </w:r>
          </w:p>
        </w:tc>
      </w:tr>
      <w:tr w:rsidR="00AA7452" w:rsidRPr="00B40B67" w14:paraId="1D27275D" w14:textId="77777777" w:rsidTr="00A72392">
        <w:tc>
          <w:tcPr>
            <w:tcW w:w="5310" w:type="dxa"/>
          </w:tcPr>
          <w:p w14:paraId="2B8BF79B" w14:textId="314372F7" w:rsidR="00AA7452" w:rsidRPr="00A72392" w:rsidRDefault="00A50C04" w:rsidP="00AA7452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Intro/</w:t>
            </w:r>
            <w:r w:rsidR="009E1F7E"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Why Explain</w:t>
            </w:r>
            <w:r w:rsidR="009E1F7E"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:</w:t>
            </w:r>
            <w:r w:rsidR="009E1F7E" w:rsidRPr="00A72392">
              <w:rPr>
                <w:rFonts w:ascii="Calibri" w:hAnsi="Calibri" w:cs="Calibri"/>
                <w:color w:val="FF0000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Explaining is enabling others to ‘borrow’ information </w:t>
            </w:r>
            <w:r w:rsidR="00801FA9" w:rsidRPr="00A72392">
              <w:rPr>
                <w:rFonts w:ascii="Calibri" w:hAnsi="Calibri" w:cs="Calibri"/>
                <w:sz w:val="25"/>
                <w:szCs w:val="25"/>
              </w:rPr>
              <w:t>from us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and reorganize it,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Students don’t just absorb – they have a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cognitive architecture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 (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working memory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(WM),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long-term memory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>(LTM), WM can be overloaded (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cognitive load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(CL)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theory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>) but is helped by LTM, direct instruction (DI) reduces CL, increases learning</w:t>
            </w:r>
          </w:p>
        </w:tc>
        <w:tc>
          <w:tcPr>
            <w:tcW w:w="5305" w:type="dxa"/>
          </w:tcPr>
          <w:p w14:paraId="33A6B2D3" w14:textId="616C65B9" w:rsidR="00801FA9" w:rsidRPr="003C2D64" w:rsidRDefault="00801FA9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30B72752" w14:textId="77777777" w:rsidTr="00A72392">
        <w:tc>
          <w:tcPr>
            <w:tcW w:w="5310" w:type="dxa"/>
          </w:tcPr>
          <w:p w14:paraId="44752C4D" w14:textId="123652F8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undivided attention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: 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Set the conditions for focus</w:t>
            </w:r>
          </w:p>
          <w:p w14:paraId="6E579EFB" w14:textId="3755A51E" w:rsidR="00801FA9" w:rsidRPr="00A72392" w:rsidRDefault="00FB5456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None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of what follows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will work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if students aren’t listening,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visual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and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auditory distractions take up space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in WM, </w:t>
            </w:r>
            <w:r w:rsidR="00D80774" w:rsidRPr="00A72392">
              <w:rPr>
                <w:rFonts w:ascii="Calibri" w:hAnsi="Calibri" w:cs="Calibri"/>
                <w:sz w:val="25"/>
                <w:szCs w:val="25"/>
              </w:rPr>
              <w:t xml:space="preserve">how they enter the room sets the scene – control it, if </w:t>
            </w:r>
            <w:r w:rsidR="00D807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you do the seating </w:t>
            </w:r>
            <w:r w:rsidR="00D80774" w:rsidRPr="00A72392">
              <w:rPr>
                <w:rFonts w:ascii="Calibri" w:hAnsi="Calibri" w:cs="Calibri"/>
                <w:sz w:val="25"/>
                <w:szCs w:val="25"/>
              </w:rPr>
              <w:t>it removes pressure on them to choose, anything more than silence introduces distraction to WM</w:t>
            </w:r>
          </w:p>
        </w:tc>
        <w:tc>
          <w:tcPr>
            <w:tcW w:w="5305" w:type="dxa"/>
          </w:tcPr>
          <w:p w14:paraId="327AEBDC" w14:textId="1687495E" w:rsidR="00D80774" w:rsidRPr="003C2D64" w:rsidRDefault="00D8077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723EC935" w14:textId="77777777" w:rsidTr="00A72392">
        <w:tc>
          <w:tcPr>
            <w:tcW w:w="5310" w:type="dxa"/>
          </w:tcPr>
          <w:p w14:paraId="4B9A22AB" w14:textId="4CBFC50B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clearly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: 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Say </w:t>
            </w:r>
            <w:r w:rsidR="00EC70F6"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</w:rPr>
              <w:t>only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the words that need to be said</w:t>
            </w:r>
          </w:p>
          <w:p w14:paraId="1D030DF0" w14:textId="5030F448" w:rsidR="00801FA9" w:rsidRPr="00A72392" w:rsidRDefault="0052680B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color w:val="9900CC"/>
                <w:sz w:val="25"/>
                <w:szCs w:val="25"/>
              </w:rPr>
              <w:t>Avoid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Vagueness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by trimming unnecessary words which clog up WM, avoid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2. Mazes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(false starts/ hesitations/unnecessary repetitions),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3. Discontinuities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(information that is irrelevant, or relevant but not now)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4. Seductive details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>(interesting or entertaining content that distracts)</w:t>
            </w:r>
          </w:p>
        </w:tc>
        <w:tc>
          <w:tcPr>
            <w:tcW w:w="5305" w:type="dxa"/>
          </w:tcPr>
          <w:p w14:paraId="193A7247" w14:textId="5F1668D9" w:rsidR="0052680B" w:rsidRPr="003C2D64" w:rsidRDefault="0052680B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01E7AC03" w14:textId="77777777" w:rsidTr="00A72392">
        <w:tc>
          <w:tcPr>
            <w:tcW w:w="5310" w:type="dxa"/>
          </w:tcPr>
          <w:p w14:paraId="343BAA55" w14:textId="0EEFDE29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interactively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: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Alternate between inputs and outputs</w:t>
            </w:r>
          </w:p>
          <w:p w14:paraId="7DDD1F83" w14:textId="222E84EC" w:rsidR="00801FA9" w:rsidRPr="00A72392" w:rsidRDefault="00EC70F6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‘Extended lecture’ can be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as frustrating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as ‘discovery learning’,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effective explaining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= managing attention + behaviour + CL by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chunking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and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alternating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/ doing example/problem pairs, it’s a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dialogue 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– take turns, needs a brisk pace to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increase number of responses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, which informs pace, we want our students to do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hard thinking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 xml:space="preserve">which you can get from 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cold-calling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 xml:space="preserve">, increasing 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think time 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>and explaining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 to themselves (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self-elaboration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>) and to others.</w:t>
            </w:r>
          </w:p>
        </w:tc>
        <w:tc>
          <w:tcPr>
            <w:tcW w:w="5305" w:type="dxa"/>
          </w:tcPr>
          <w:p w14:paraId="270EE804" w14:textId="79C13488" w:rsidR="00B56B1E" w:rsidRPr="003C2D64" w:rsidRDefault="00B56B1E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253918AB" w14:textId="77777777" w:rsidTr="00A72392">
        <w:trPr>
          <w:trHeight w:val="2411"/>
        </w:trPr>
        <w:tc>
          <w:tcPr>
            <w:tcW w:w="5310" w:type="dxa"/>
          </w:tcPr>
          <w:p w14:paraId="03CFB762" w14:textId="77777777" w:rsidR="00801FA9" w:rsidRPr="00A72392" w:rsidRDefault="00801FA9" w:rsidP="00801FA9">
            <w:pPr>
              <w:rPr>
                <w:rFonts w:ascii="Calibri" w:hAnsi="Calibri" w:cs="Calibri"/>
                <w:color w:val="9900FF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visuals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</w:t>
            </w:r>
            <w:r w:rsidR="00015B04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Speaking with images and drawings</w:t>
            </w:r>
          </w:p>
          <w:p w14:paraId="187E2C8B" w14:textId="307E9C64" w:rsidR="00015B04" w:rsidRPr="00A72392" w:rsidRDefault="00015B04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Spoken word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transient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– we need to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increase processing time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using images/diagrams/graphics, there are 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 simultaneous channels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into working memory = 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dual coding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via spoken word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>+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 visuals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, many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guiding principles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,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press B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during PowerPoint to get a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black screen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then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switch to whiteboard for dynamic drawing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>.</w:t>
            </w:r>
          </w:p>
        </w:tc>
        <w:tc>
          <w:tcPr>
            <w:tcW w:w="5305" w:type="dxa"/>
          </w:tcPr>
          <w:p w14:paraId="3B7F7F08" w14:textId="04092E3C" w:rsidR="00B40B67" w:rsidRPr="003C2D64" w:rsidRDefault="00B40B67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2A26EDA6" w14:textId="77777777" w:rsidTr="00A72392">
        <w:tc>
          <w:tcPr>
            <w:tcW w:w="5310" w:type="dxa"/>
          </w:tcPr>
          <w:p w14:paraId="25EFB28F" w14:textId="19328C4B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lastRenderedPageBreak/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examples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Show what it is and what it isn’t</w:t>
            </w:r>
          </w:p>
          <w:p w14:paraId="4AC6C0C9" w14:textId="132FBBFA" w:rsidR="00801FA9" w:rsidRPr="00A72392" w:rsidRDefault="00286E68" w:rsidP="00286E68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Examples 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are specific instances of material;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explanations 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situate examples in wider context/ concepts, and need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non-examples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, and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erroneous examples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>, choice of examples used is VERY important to exemplify boundaries of concept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.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   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2. D</w:t>
            </w:r>
            <w:r w:rsidR="004D019F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eep understanding 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= memory from a long time ago or ability to apply in a wide range of contexts </w:t>
            </w:r>
            <w:r w:rsidR="00EC3F39">
              <w:rPr>
                <w:rFonts w:ascii="Calibri" w:hAnsi="Calibri" w:cs="Calibri"/>
                <w:sz w:val="25"/>
                <w:szCs w:val="25"/>
              </w:rPr>
              <w:t>such as learning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 from errors.</w:t>
            </w:r>
          </w:p>
          <w:p w14:paraId="1434E3E2" w14:textId="103A60E0" w:rsidR="004D019F" w:rsidRPr="00A72392" w:rsidRDefault="00286E68" w:rsidP="00801FA9">
            <w:pPr>
              <w:rPr>
                <w:rFonts w:ascii="Calibri" w:hAnsi="Calibri" w:cs="Calibri"/>
                <w:color w:val="000000" w:themeColor="text1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3. A</w:t>
            </w:r>
            <w:r w:rsidR="004D019F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nalogies </w:t>
            </w:r>
            <w:r w:rsidR="004D019F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>should capitalize on prior knowledge, highlight shared structure, not overload WM, beware getting them to generate them</w:t>
            </w:r>
          </w:p>
        </w:tc>
        <w:tc>
          <w:tcPr>
            <w:tcW w:w="5305" w:type="dxa"/>
          </w:tcPr>
          <w:p w14:paraId="3466C4FA" w14:textId="77777777" w:rsidR="004D019F" w:rsidRDefault="004D019F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2F5B8AFD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3C28ECA2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0122FF94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21D379F4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4716EFE6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141FCD56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7D1F53F3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198071F5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7C50819E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305DE14D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3653A25A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1FAF7579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3DF3136B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4C1704FB" w14:textId="6F3F6BC4" w:rsidR="003C2D64" w:rsidRP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220B174A" w14:textId="77777777" w:rsidTr="00A72392">
        <w:tc>
          <w:tcPr>
            <w:tcW w:w="5310" w:type="dxa"/>
          </w:tcPr>
          <w:p w14:paraId="2BBC08DB" w14:textId="54BB9D81" w:rsidR="00801FA9" w:rsidRPr="00A72392" w:rsidRDefault="00801FA9" w:rsidP="00801FA9">
            <w:pPr>
              <w:rPr>
                <w:rFonts w:ascii="Calibri" w:hAnsi="Calibri" w:cs="Calibri"/>
                <w:color w:val="000000" w:themeColor="text1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stories</w:t>
            </w:r>
            <w:r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  <w:u w:val="single"/>
              </w:rPr>
              <w:t>: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</w:t>
            </w:r>
            <w:r w:rsidR="004D019F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Narrative, emotion, gestures</w:t>
            </w:r>
          </w:p>
          <w:p w14:paraId="01ED79D1" w14:textId="38F462DB" w:rsidR="00801FA9" w:rsidRPr="00A72392" w:rsidRDefault="00286E68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Engagement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NOT entertainment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but teaching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performance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Storytelling 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psychologically privileged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2. Emotional design 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– emotionally resonant speech includes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personalizatio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and other features to 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engage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on emotional level 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3. Gestures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>are co-speech, more than just fun, good for communicating visuo-spatial information related to embodiment and social agency</w:t>
            </w:r>
          </w:p>
        </w:tc>
        <w:tc>
          <w:tcPr>
            <w:tcW w:w="5305" w:type="dxa"/>
          </w:tcPr>
          <w:p w14:paraId="0139175C" w14:textId="77777777" w:rsidR="00FE60A7" w:rsidRDefault="00FE60A7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297FA7A6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7B4E6E0B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64D99D8D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7F2EEBCC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440891BE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054C53AE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29C99F9E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2D440146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66A377FD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15AB674F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0E670A84" w14:textId="6F163257" w:rsidR="003C2D64" w:rsidRP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796CD80A" w14:textId="77777777" w:rsidTr="00A72392">
        <w:tc>
          <w:tcPr>
            <w:tcW w:w="5310" w:type="dxa"/>
          </w:tcPr>
          <w:p w14:paraId="19289D35" w14:textId="21943451" w:rsidR="00FE60A7" w:rsidRPr="00A72392" w:rsidRDefault="00801FA9" w:rsidP="00801FA9">
            <w:pPr>
              <w:rPr>
                <w:rFonts w:ascii="Calibri" w:hAnsi="Calibri" w:cs="Calibri"/>
                <w:color w:val="9900FF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and release)</w:t>
            </w:r>
            <w:r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  <w:u w:val="single"/>
              </w:rPr>
              <w:t>: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</w:t>
            </w:r>
            <w:r w:rsidR="00FE60A7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Gradually fade guidance</w:t>
            </w:r>
          </w:p>
          <w:p w14:paraId="61DD5E79" w14:textId="77363FC9" w:rsidR="00801FA9" w:rsidRPr="00A72392" w:rsidRDefault="00511B0F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What you give them will depend on their level of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expertise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, there is a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novice ↔ expert continuum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which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domain-specific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so instructional methods need to change gradually while managing cognitive load, 1. 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‘I do’ to ‘you do’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2. 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‘out loud’ to ‘in their heads’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, 3. 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simple to complex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 (managing element interactivity – the juggling in WM) 4. 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massed practice to spaced practice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>.</w:t>
            </w:r>
          </w:p>
        </w:tc>
        <w:tc>
          <w:tcPr>
            <w:tcW w:w="5305" w:type="dxa"/>
          </w:tcPr>
          <w:p w14:paraId="67473A7B" w14:textId="77777777" w:rsidR="001F5942" w:rsidRDefault="001F5942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0F98B993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2753407A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29D51E89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79C95880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271FB725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518D57F7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2CE92EB9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36BDF02B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1094B212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56CD2EC4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32BC213A" w14:textId="77777777" w:rsid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  <w:p w14:paraId="047E3967" w14:textId="06D11CC7" w:rsidR="003C2D64" w:rsidRPr="003C2D64" w:rsidRDefault="003C2D64" w:rsidP="003C2D64">
            <w:pPr>
              <w:rPr>
                <w:rFonts w:ascii="Calibri" w:hAnsi="Calibri" w:cs="Calibri"/>
                <w:sz w:val="25"/>
                <w:szCs w:val="25"/>
              </w:rPr>
            </w:pPr>
          </w:p>
        </w:tc>
      </w:tr>
      <w:tr w:rsidR="00801FA9" w:rsidRPr="00B40B67" w14:paraId="3C27D3CB" w14:textId="77777777" w:rsidTr="00A72392">
        <w:tc>
          <w:tcPr>
            <w:tcW w:w="5310" w:type="dxa"/>
          </w:tcPr>
          <w:p w14:paraId="7FCA70BD" w14:textId="77777777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Conclusion:</w:t>
            </w:r>
            <w:r w:rsidRPr="00A72392">
              <w:rPr>
                <w:rFonts w:ascii="Calibri" w:hAnsi="Calibri" w:cs="Calibri"/>
                <w:color w:val="FF0000"/>
                <w:sz w:val="25"/>
                <w:szCs w:val="25"/>
              </w:rPr>
              <w:t xml:space="preserve"> </w:t>
            </w:r>
          </w:p>
          <w:p w14:paraId="490C0A8E" w14:textId="39411635" w:rsidR="001F5942" w:rsidRPr="00A72392" w:rsidRDefault="001F5942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We may have embraced minimal guidance/ guide on the side 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ideas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 xml:space="preserve"> but explicit instruction works, particularly for “low” or “at-risk” students. </w:t>
            </w:r>
          </w:p>
        </w:tc>
        <w:tc>
          <w:tcPr>
            <w:tcW w:w="5305" w:type="dxa"/>
          </w:tcPr>
          <w:p w14:paraId="326B0F15" w14:textId="77777777" w:rsidR="001F5942" w:rsidRDefault="001F5942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1D2A2276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5BDA9438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04968318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4F3D5D14" w14:textId="77777777" w:rsid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  <w:p w14:paraId="6DFDC97E" w14:textId="37B37BF3" w:rsidR="003C2D64" w:rsidRPr="003C2D64" w:rsidRDefault="003C2D64" w:rsidP="003C2D64">
            <w:pPr>
              <w:ind w:left="71"/>
              <w:rPr>
                <w:rFonts w:ascii="Calibri" w:hAnsi="Calibri" w:cs="Calibri"/>
                <w:sz w:val="25"/>
                <w:szCs w:val="25"/>
              </w:rPr>
            </w:pPr>
          </w:p>
        </w:tc>
      </w:tr>
    </w:tbl>
    <w:p w14:paraId="335B0957" w14:textId="4EDDBA67" w:rsidR="00AA7452" w:rsidRPr="00B40B67" w:rsidRDefault="00B40B67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-</w:t>
      </w:r>
    </w:p>
    <w:sectPr w:rsidR="00AA7452" w:rsidRPr="00B40B67" w:rsidSect="00A72392">
      <w:pgSz w:w="12240" w:h="15840"/>
      <w:pgMar w:top="720" w:right="450" w:bottom="45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404B5"/>
    <w:multiLevelType w:val="hybridMultilevel"/>
    <w:tmpl w:val="2A988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6E6A17"/>
    <w:multiLevelType w:val="hybridMultilevel"/>
    <w:tmpl w:val="13B0CC12"/>
    <w:lvl w:ilvl="0" w:tplc="A62096AE">
      <w:start w:val="1"/>
      <w:numFmt w:val="decimal"/>
      <w:lvlText w:val="%1."/>
      <w:lvlJc w:val="left"/>
      <w:pPr>
        <w:ind w:left="720" w:hanging="360"/>
      </w:pPr>
      <w:rPr>
        <w:rFonts w:hint="default"/>
        <w:color w:val="99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394597">
    <w:abstractNumId w:val="0"/>
  </w:num>
  <w:num w:numId="2" w16cid:durableId="1864634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52"/>
    <w:rsid w:val="00015B04"/>
    <w:rsid w:val="00121F27"/>
    <w:rsid w:val="001F5942"/>
    <w:rsid w:val="00207710"/>
    <w:rsid w:val="00241066"/>
    <w:rsid w:val="00286E68"/>
    <w:rsid w:val="003C2D64"/>
    <w:rsid w:val="003C6D7B"/>
    <w:rsid w:val="004A51EB"/>
    <w:rsid w:val="004D019F"/>
    <w:rsid w:val="004E1B7C"/>
    <w:rsid w:val="00511B0F"/>
    <w:rsid w:val="0052680B"/>
    <w:rsid w:val="00584A50"/>
    <w:rsid w:val="005D1998"/>
    <w:rsid w:val="005E0568"/>
    <w:rsid w:val="00612866"/>
    <w:rsid w:val="00616974"/>
    <w:rsid w:val="00622D69"/>
    <w:rsid w:val="0062318A"/>
    <w:rsid w:val="00636A86"/>
    <w:rsid w:val="006825D7"/>
    <w:rsid w:val="0068262C"/>
    <w:rsid w:val="006C00AD"/>
    <w:rsid w:val="006F54E4"/>
    <w:rsid w:val="00701515"/>
    <w:rsid w:val="00754F5D"/>
    <w:rsid w:val="007C0D3D"/>
    <w:rsid w:val="00801FA9"/>
    <w:rsid w:val="008A5FC2"/>
    <w:rsid w:val="008E2325"/>
    <w:rsid w:val="009056DE"/>
    <w:rsid w:val="00951205"/>
    <w:rsid w:val="00965573"/>
    <w:rsid w:val="009940AD"/>
    <w:rsid w:val="009B606F"/>
    <w:rsid w:val="009E1F7E"/>
    <w:rsid w:val="00A50C04"/>
    <w:rsid w:val="00A72392"/>
    <w:rsid w:val="00AA7452"/>
    <w:rsid w:val="00AC1D5C"/>
    <w:rsid w:val="00B40B67"/>
    <w:rsid w:val="00B56B1E"/>
    <w:rsid w:val="00B86990"/>
    <w:rsid w:val="00C35CD3"/>
    <w:rsid w:val="00C511A2"/>
    <w:rsid w:val="00C6436A"/>
    <w:rsid w:val="00CC2F13"/>
    <w:rsid w:val="00D80774"/>
    <w:rsid w:val="00EC3F39"/>
    <w:rsid w:val="00EC70F6"/>
    <w:rsid w:val="00F90CD2"/>
    <w:rsid w:val="00FB5456"/>
    <w:rsid w:val="00FE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166DC"/>
  <w15:chartTrackingRefBased/>
  <w15:docId w15:val="{78D07F5C-F226-461A-A7E8-3A3CA1D47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4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4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4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4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4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4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4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4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4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4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4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4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4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4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4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5F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5F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5F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5F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5F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Reynolds</dc:creator>
  <cp:keywords/>
  <dc:description/>
  <cp:lastModifiedBy>Helen Reynolds</cp:lastModifiedBy>
  <cp:revision>4</cp:revision>
  <cp:lastPrinted>2025-02-17T21:47:00Z</cp:lastPrinted>
  <dcterms:created xsi:type="dcterms:W3CDTF">2025-02-17T21:47:00Z</dcterms:created>
  <dcterms:modified xsi:type="dcterms:W3CDTF">2025-02-17T22:05:00Z</dcterms:modified>
</cp:coreProperties>
</file>